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1296"/>
        <w:gridCol w:w="3584"/>
        <w:gridCol w:w="6178"/>
      </w:tblGrid>
      <w:tr w:rsidR="005B752F" w14:paraId="08762951" w14:textId="77777777" w:rsidTr="009C2C74">
        <w:tc>
          <w:tcPr>
            <w:tcW w:w="1296" w:type="dxa"/>
          </w:tcPr>
          <w:p w14:paraId="6EF24623" w14:textId="31CF276F" w:rsidR="005B752F" w:rsidRDefault="00AA2F78" w:rsidP="00AA2F78">
            <w:pPr>
              <w:pStyle w:val="ListParagraph"/>
              <w:numPr>
                <w:ilvl w:val="0"/>
                <w:numId w:val="2"/>
              </w:numPr>
              <w:jc w:val="both"/>
            </w:pPr>
            <w:r>
              <w:t xml:space="preserve"> </w:t>
            </w:r>
          </w:p>
        </w:tc>
        <w:tc>
          <w:tcPr>
            <w:tcW w:w="3584"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178" w:type="dxa"/>
          </w:tcPr>
          <w:p w14:paraId="26227734" w14:textId="6BD1A0B1" w:rsidR="005B752F" w:rsidRDefault="00DE2E45">
            <w:r>
              <w:t>South West</w:t>
            </w:r>
          </w:p>
          <w:p w14:paraId="582B194B" w14:textId="77777777" w:rsidR="00BD6DCA" w:rsidRDefault="00BD6DCA"/>
        </w:tc>
      </w:tr>
      <w:tr w:rsidR="005B752F" w14:paraId="3D0C0602" w14:textId="77777777" w:rsidTr="009C2C74">
        <w:tc>
          <w:tcPr>
            <w:tcW w:w="1296" w:type="dxa"/>
          </w:tcPr>
          <w:p w14:paraId="381BBE73" w14:textId="33FA9C87" w:rsidR="005B752F" w:rsidRDefault="005B752F" w:rsidP="00AA2F78">
            <w:pPr>
              <w:pStyle w:val="ListParagraph"/>
              <w:numPr>
                <w:ilvl w:val="0"/>
                <w:numId w:val="2"/>
              </w:numPr>
              <w:jc w:val="both"/>
            </w:pPr>
          </w:p>
        </w:tc>
        <w:tc>
          <w:tcPr>
            <w:tcW w:w="3584"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178" w:type="dxa"/>
          </w:tcPr>
          <w:p w14:paraId="3707B087" w14:textId="2C373330" w:rsidR="00BD6DCA" w:rsidRDefault="004103F2" w:rsidP="7E17BED1">
            <w:r>
              <w:t xml:space="preserve">DCT 2 in </w:t>
            </w:r>
            <w:r w:rsidR="00F45DBA">
              <w:t>Special Care Dentistry</w:t>
            </w:r>
            <w:r>
              <w:t xml:space="preserve"> </w:t>
            </w:r>
            <w:r w:rsidR="00F45DBA">
              <w:t>(SCD)</w:t>
            </w:r>
            <w:r w:rsidR="1E732B36">
              <w:t xml:space="preserve"> and community dental service  </w:t>
            </w:r>
            <w:r w:rsidR="788C1A55">
              <w:t>(CDS)</w:t>
            </w:r>
          </w:p>
        </w:tc>
      </w:tr>
      <w:tr w:rsidR="00255CE6" w14:paraId="78D73429" w14:textId="77777777" w:rsidTr="009C2C74">
        <w:tc>
          <w:tcPr>
            <w:tcW w:w="1296" w:type="dxa"/>
          </w:tcPr>
          <w:p w14:paraId="6FFD08B3" w14:textId="50250E82" w:rsidR="00255CE6" w:rsidRDefault="00255CE6" w:rsidP="00AA2F78">
            <w:pPr>
              <w:pStyle w:val="ListParagraph"/>
              <w:numPr>
                <w:ilvl w:val="0"/>
                <w:numId w:val="2"/>
              </w:numPr>
              <w:jc w:val="both"/>
            </w:pPr>
          </w:p>
        </w:tc>
        <w:tc>
          <w:tcPr>
            <w:tcW w:w="3584" w:type="dxa"/>
          </w:tcPr>
          <w:p w14:paraId="5943AC21" w14:textId="0198EEC9" w:rsidR="00255CE6" w:rsidRDefault="00255CE6">
            <w:pPr>
              <w:rPr>
                <w:b/>
                <w:bCs/>
                <w:sz w:val="24"/>
                <w:szCs w:val="24"/>
              </w:rPr>
            </w:pPr>
            <w:r w:rsidRPr="00AA2F78">
              <w:rPr>
                <w:b/>
                <w:bCs/>
                <w:sz w:val="24"/>
                <w:szCs w:val="24"/>
              </w:rPr>
              <w:t>Training unit/locations</w:t>
            </w:r>
          </w:p>
        </w:tc>
        <w:tc>
          <w:tcPr>
            <w:tcW w:w="6178" w:type="dxa"/>
          </w:tcPr>
          <w:p w14:paraId="76E87C3D" w14:textId="3F2E95FC" w:rsidR="004103F2" w:rsidRDefault="004103F2" w:rsidP="004103F2">
            <w:r>
              <w:t xml:space="preserve">Primary Location:  </w:t>
            </w:r>
          </w:p>
          <w:p w14:paraId="4437DE97" w14:textId="77777777" w:rsidR="00280052" w:rsidRDefault="004103F2" w:rsidP="004103F2">
            <w:r>
              <w:t xml:space="preserve">Bristol Dental Hospital (UHBW NHS Foundation Trust)  </w:t>
            </w:r>
          </w:p>
          <w:p w14:paraId="406B60F1" w14:textId="04AC8581" w:rsidR="004103F2" w:rsidRDefault="004103F2" w:rsidP="004103F2"/>
          <w:p w14:paraId="7FA8C242" w14:textId="163CE40A" w:rsidR="004103F2" w:rsidRDefault="36FA1E67" w:rsidP="004103F2">
            <w:r>
              <w:t>Secondary location:</w:t>
            </w:r>
          </w:p>
          <w:p w14:paraId="142F6234" w14:textId="04F0A4C3" w:rsidR="004103F2" w:rsidRDefault="36FA1E67" w:rsidP="004103F2">
            <w:r>
              <w:t>1 day a week in the Bristol Community dental service</w:t>
            </w:r>
            <w:r w:rsidR="690BB60E">
              <w:t xml:space="preserve"> (Charlotte Keel Health Centre)</w:t>
            </w:r>
          </w:p>
        </w:tc>
      </w:tr>
      <w:tr w:rsidR="005B752F" w14:paraId="6DC7D7BD" w14:textId="77777777" w:rsidTr="009C2C74">
        <w:tc>
          <w:tcPr>
            <w:tcW w:w="1296" w:type="dxa"/>
          </w:tcPr>
          <w:p w14:paraId="114F41D6" w14:textId="1F6E2A41" w:rsidR="005B752F" w:rsidRDefault="005B752F" w:rsidP="00AA2F78">
            <w:pPr>
              <w:pStyle w:val="ListParagraph"/>
              <w:numPr>
                <w:ilvl w:val="0"/>
                <w:numId w:val="2"/>
              </w:numPr>
              <w:jc w:val="both"/>
            </w:pPr>
          </w:p>
        </w:tc>
        <w:tc>
          <w:tcPr>
            <w:tcW w:w="3584"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178" w:type="dxa"/>
          </w:tcPr>
          <w:p w14:paraId="1BC80AC9" w14:textId="6B8197B5" w:rsidR="004103F2" w:rsidRDefault="004103F2" w:rsidP="004103F2">
            <w:r>
              <w:t xml:space="preserve"> </w:t>
            </w:r>
            <w:r w:rsidR="00F45DBA">
              <w:t>Special Care Dentistry</w:t>
            </w:r>
          </w:p>
          <w:p w14:paraId="3AF8970E" w14:textId="63BFAD10" w:rsidR="004103F2" w:rsidRDefault="33D95972" w:rsidP="004103F2">
            <w:r>
              <w:t>Community dental services – 1 day</w:t>
            </w:r>
            <w:r w:rsidR="0D37051D">
              <w:t xml:space="preserve"> (</w:t>
            </w:r>
            <w:r w:rsidR="2F447E8E">
              <w:t xml:space="preserve">usually </w:t>
            </w:r>
            <w:r w:rsidR="0D37051D">
              <w:t>Thursday</w:t>
            </w:r>
            <w:r w:rsidR="60A5EFAF">
              <w:t>s</w:t>
            </w:r>
            <w:r w:rsidR="0D37051D">
              <w:t>)</w:t>
            </w:r>
          </w:p>
        </w:tc>
      </w:tr>
      <w:tr w:rsidR="005B752F" w14:paraId="4B797604" w14:textId="77777777" w:rsidTr="009C2C74">
        <w:tc>
          <w:tcPr>
            <w:tcW w:w="1296" w:type="dxa"/>
          </w:tcPr>
          <w:p w14:paraId="6E46325C" w14:textId="2B0250FB" w:rsidR="005B752F" w:rsidRDefault="005B752F" w:rsidP="00AA2F78">
            <w:pPr>
              <w:pStyle w:val="ListParagraph"/>
              <w:numPr>
                <w:ilvl w:val="0"/>
                <w:numId w:val="2"/>
              </w:numPr>
              <w:jc w:val="both"/>
            </w:pPr>
          </w:p>
        </w:tc>
        <w:tc>
          <w:tcPr>
            <w:tcW w:w="3584"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178" w:type="dxa"/>
          </w:tcPr>
          <w:p w14:paraId="75035642" w14:textId="28E3E85D" w:rsidR="004103F2" w:rsidRDefault="004103F2" w:rsidP="004103F2">
            <w:r w:rsidRPr="74581E53">
              <w:rPr>
                <w:u w:val="single"/>
              </w:rPr>
              <w:t>Bristol Dental Hospital</w:t>
            </w:r>
            <w:r>
              <w:t xml:space="preserve"> (During </w:t>
            </w:r>
            <w:r w:rsidR="00F45DBA">
              <w:t>SCD</w:t>
            </w:r>
            <w:r w:rsidR="3EA46017">
              <w:t>)</w:t>
            </w:r>
            <w:r>
              <w:t xml:space="preserve"> </w:t>
            </w:r>
          </w:p>
          <w:p w14:paraId="1C1129D3" w14:textId="77777777" w:rsidR="004103F2" w:rsidRDefault="004103F2" w:rsidP="004103F2">
            <w:r>
              <w:t xml:space="preserve"> Lower Maudlin Street  </w:t>
            </w:r>
          </w:p>
          <w:p w14:paraId="597E4344" w14:textId="77777777" w:rsidR="004103F2" w:rsidRDefault="004103F2" w:rsidP="004103F2">
            <w:r>
              <w:t xml:space="preserve"> Bristol  </w:t>
            </w:r>
          </w:p>
          <w:p w14:paraId="5BE769B5" w14:textId="77777777" w:rsidR="004103F2" w:rsidRDefault="004103F2" w:rsidP="004103F2">
            <w:r>
              <w:t xml:space="preserve"> BS1 2LY  </w:t>
            </w:r>
          </w:p>
          <w:p w14:paraId="3A6C7BEC" w14:textId="77777777" w:rsidR="00F45DBA" w:rsidRDefault="00F45DBA" w:rsidP="004103F2"/>
          <w:p w14:paraId="5B2910F9" w14:textId="4366C84C" w:rsidR="00F45DBA" w:rsidRPr="00F45DBA" w:rsidRDefault="00F45DBA" w:rsidP="004103F2">
            <w:r w:rsidRPr="009C2C74">
              <w:rPr>
                <w:u w:val="single"/>
              </w:rPr>
              <w:t xml:space="preserve">St. Michaels Hospital </w:t>
            </w:r>
            <w:r>
              <w:t>(SCD)</w:t>
            </w:r>
          </w:p>
          <w:p w14:paraId="5BA9AD5E" w14:textId="026B2DF3" w:rsidR="00F45DBA" w:rsidRDefault="00F45DBA" w:rsidP="004103F2">
            <w:r>
              <w:t>Southwell Street</w:t>
            </w:r>
          </w:p>
          <w:p w14:paraId="61FEC125" w14:textId="64D2A593" w:rsidR="00F45DBA" w:rsidRDefault="00F45DBA" w:rsidP="004103F2">
            <w:r>
              <w:t>Bristol</w:t>
            </w:r>
          </w:p>
          <w:p w14:paraId="4937D37D" w14:textId="4988F400" w:rsidR="004103F2" w:rsidRDefault="00F45DBA" w:rsidP="004103F2">
            <w:r>
              <w:t>BS2 8EG</w:t>
            </w:r>
            <w:r w:rsidR="004103F2">
              <w:t xml:space="preserve"> </w:t>
            </w:r>
          </w:p>
          <w:p w14:paraId="20E3E4B7" w14:textId="4485F133" w:rsidR="03A83CC7" w:rsidRDefault="03A83CC7" w:rsidP="03A83CC7"/>
          <w:p w14:paraId="6D8291B8" w14:textId="32744BA8" w:rsidR="004103F2" w:rsidRDefault="6892555B" w:rsidP="74581E53">
            <w:pPr>
              <w:rPr>
                <w:u w:val="single"/>
              </w:rPr>
            </w:pPr>
            <w:r w:rsidRPr="009C2C74">
              <w:rPr>
                <w:u w:val="single"/>
              </w:rPr>
              <w:t>Dental department</w:t>
            </w:r>
            <w:r w:rsidR="59EE9476" w:rsidRPr="009C2C74">
              <w:rPr>
                <w:u w:val="single"/>
              </w:rPr>
              <w:t xml:space="preserve"> (</w:t>
            </w:r>
            <w:r w:rsidR="59EE9476">
              <w:t>CDS)</w:t>
            </w:r>
          </w:p>
          <w:p w14:paraId="4931B36D" w14:textId="7EA0802F" w:rsidR="004103F2" w:rsidRDefault="0D84BB8C" w:rsidP="03A83CC7">
            <w:r>
              <w:t>Charlotte Keel Health C</w:t>
            </w:r>
            <w:r w:rsidR="58CA3191">
              <w:t>linic</w:t>
            </w:r>
          </w:p>
          <w:p w14:paraId="3480A26D" w14:textId="386E2EB3" w:rsidR="58CA3191" w:rsidRDefault="58CA3191" w:rsidP="74581E53">
            <w:r>
              <w:t>Seymour Road</w:t>
            </w:r>
          </w:p>
          <w:p w14:paraId="3719C8C9" w14:textId="380B597C" w:rsidR="58CA3191" w:rsidRDefault="58CA3191" w:rsidP="74581E53">
            <w:r>
              <w:t>Easton</w:t>
            </w:r>
          </w:p>
          <w:p w14:paraId="170346B4" w14:textId="5300F62A" w:rsidR="58CA3191" w:rsidRDefault="58CA3191" w:rsidP="74581E53">
            <w:r>
              <w:t>Bristol</w:t>
            </w:r>
          </w:p>
          <w:p w14:paraId="139FAC41" w14:textId="4C2F7104" w:rsidR="58CA3191" w:rsidRDefault="58CA3191" w:rsidP="74581E53">
            <w:r>
              <w:t>BS5 0UA</w:t>
            </w:r>
          </w:p>
          <w:p w14:paraId="3690167F" w14:textId="6A954E24" w:rsidR="74581E53" w:rsidRDefault="74581E53" w:rsidP="74581E53"/>
          <w:p w14:paraId="20CBF4C2" w14:textId="2403501D" w:rsidR="005B752F" w:rsidRDefault="005B752F" w:rsidP="004103F2"/>
        </w:tc>
      </w:tr>
      <w:tr w:rsidR="005B752F" w14:paraId="5BBC6D4F" w14:textId="77777777" w:rsidTr="009C2C74">
        <w:tc>
          <w:tcPr>
            <w:tcW w:w="1296" w:type="dxa"/>
          </w:tcPr>
          <w:p w14:paraId="0DB1527F" w14:textId="60796610" w:rsidR="005B752F" w:rsidRDefault="005B752F" w:rsidP="00AA2F78">
            <w:pPr>
              <w:pStyle w:val="ListParagraph"/>
              <w:numPr>
                <w:ilvl w:val="0"/>
                <w:numId w:val="2"/>
              </w:numPr>
              <w:jc w:val="both"/>
            </w:pPr>
          </w:p>
        </w:tc>
        <w:tc>
          <w:tcPr>
            <w:tcW w:w="3584" w:type="dxa"/>
          </w:tcPr>
          <w:p w14:paraId="66B679D9" w14:textId="2446EFA9" w:rsidR="005B752F" w:rsidRPr="00AA2F78" w:rsidRDefault="005B752F">
            <w:pPr>
              <w:rPr>
                <w:b/>
                <w:bCs/>
                <w:sz w:val="24"/>
                <w:szCs w:val="24"/>
              </w:rPr>
            </w:pPr>
            <w:r w:rsidRPr="00AA2F78">
              <w:rPr>
                <w:b/>
                <w:bCs/>
                <w:sz w:val="24"/>
                <w:szCs w:val="24"/>
              </w:rPr>
              <w:t>Travel Commitment</w:t>
            </w:r>
          </w:p>
        </w:tc>
        <w:tc>
          <w:tcPr>
            <w:tcW w:w="6178" w:type="dxa"/>
          </w:tcPr>
          <w:p w14:paraId="159CB0DD" w14:textId="792F5CF2" w:rsidR="004103F2" w:rsidRDefault="004103F2" w:rsidP="004103F2">
            <w:r>
              <w:t xml:space="preserve">Bristol Dental Hospital (Primary Location) </w:t>
            </w:r>
          </w:p>
          <w:p w14:paraId="3F9712D2" w14:textId="051A4E1B" w:rsidR="004103F2" w:rsidRDefault="0E8D5DCD" w:rsidP="004103F2">
            <w:r>
              <w:t>Charlotte Keel Health Centre</w:t>
            </w:r>
          </w:p>
          <w:p w14:paraId="016D5E04" w14:textId="1EBAE9E7" w:rsidR="00BD6DCA" w:rsidRDefault="00BD6DCA" w:rsidP="004103F2"/>
        </w:tc>
      </w:tr>
      <w:tr w:rsidR="005B752F" w14:paraId="73221599" w14:textId="77777777" w:rsidTr="009C2C74">
        <w:tc>
          <w:tcPr>
            <w:tcW w:w="1296" w:type="dxa"/>
          </w:tcPr>
          <w:p w14:paraId="66BA4FD5" w14:textId="2C4D4EA1" w:rsidR="005B752F" w:rsidRDefault="005B752F" w:rsidP="00AA2F78">
            <w:pPr>
              <w:pStyle w:val="ListParagraph"/>
              <w:numPr>
                <w:ilvl w:val="0"/>
                <w:numId w:val="2"/>
              </w:numPr>
              <w:jc w:val="both"/>
            </w:pPr>
          </w:p>
        </w:tc>
        <w:tc>
          <w:tcPr>
            <w:tcW w:w="3584"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178" w:type="dxa"/>
          </w:tcPr>
          <w:p w14:paraId="29C3A606" w14:textId="0DF17BED" w:rsidR="004103F2" w:rsidRDefault="004103F2" w:rsidP="004103F2">
            <w:r>
              <w:t xml:space="preserve">Amy Hollis </w:t>
            </w:r>
          </w:p>
          <w:p w14:paraId="472BB741" w14:textId="042BE514" w:rsidR="00BD6DCA" w:rsidRDefault="004103F2">
            <w:r>
              <w:t>Tanu Bhat</w:t>
            </w:r>
          </w:p>
        </w:tc>
      </w:tr>
      <w:tr w:rsidR="00AB2FC4" w14:paraId="435971B4" w14:textId="77777777" w:rsidTr="009C2C74">
        <w:tc>
          <w:tcPr>
            <w:tcW w:w="1296" w:type="dxa"/>
          </w:tcPr>
          <w:p w14:paraId="3FD8EF7C" w14:textId="77777777" w:rsidR="00AB2FC4" w:rsidRDefault="00AB2FC4" w:rsidP="00AA2F78">
            <w:pPr>
              <w:pStyle w:val="ListParagraph"/>
              <w:numPr>
                <w:ilvl w:val="0"/>
                <w:numId w:val="2"/>
              </w:numPr>
              <w:jc w:val="both"/>
            </w:pPr>
          </w:p>
        </w:tc>
        <w:tc>
          <w:tcPr>
            <w:tcW w:w="3584"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178" w:type="dxa"/>
          </w:tcPr>
          <w:p w14:paraId="406D8540" w14:textId="7EBFDB8D" w:rsidR="004103F2" w:rsidRDefault="004103F2" w:rsidP="004103F2">
            <w:hyperlink r:id="rId10" w:history="1">
              <w:r w:rsidRPr="00337859">
                <w:rPr>
                  <w:rStyle w:val="Hyperlink"/>
                </w:rPr>
                <w:t>amy.hollis@uhbw.nhs.uk</w:t>
              </w:r>
            </w:hyperlink>
            <w:r>
              <w:t xml:space="preserve"> </w:t>
            </w:r>
          </w:p>
          <w:p w14:paraId="2156B61F" w14:textId="4A6DDCBC" w:rsidR="00AB2FC4" w:rsidRDefault="004103F2" w:rsidP="004103F2">
            <w:hyperlink r:id="rId11" w:history="1">
              <w:r w:rsidRPr="00337859">
                <w:rPr>
                  <w:rStyle w:val="Hyperlink"/>
                </w:rPr>
                <w:t>Tanu.bhat@uhbw.nhs.uk</w:t>
              </w:r>
            </w:hyperlink>
          </w:p>
          <w:p w14:paraId="3BABA804" w14:textId="449DCFE0" w:rsidR="004103F2" w:rsidRDefault="004103F2" w:rsidP="004103F2"/>
        </w:tc>
      </w:tr>
      <w:tr w:rsidR="005B752F" w14:paraId="537840C5" w14:textId="77777777" w:rsidTr="009C2C74">
        <w:tc>
          <w:tcPr>
            <w:tcW w:w="1296" w:type="dxa"/>
          </w:tcPr>
          <w:p w14:paraId="7DA37861" w14:textId="7D073092" w:rsidR="005B752F" w:rsidRDefault="005B752F" w:rsidP="00AA2F78">
            <w:pPr>
              <w:pStyle w:val="ListParagraph"/>
              <w:numPr>
                <w:ilvl w:val="0"/>
                <w:numId w:val="2"/>
              </w:numPr>
              <w:jc w:val="both"/>
            </w:pPr>
          </w:p>
        </w:tc>
        <w:tc>
          <w:tcPr>
            <w:tcW w:w="3584"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178" w:type="dxa"/>
          </w:tcPr>
          <w:p w14:paraId="7FC4EE11" w14:textId="77777777" w:rsidR="004103F2" w:rsidRDefault="004103F2" w:rsidP="004103F2">
            <w:pPr>
              <w:rPr>
                <w:u w:val="single"/>
              </w:rPr>
            </w:pPr>
          </w:p>
          <w:p w14:paraId="2A5AC483" w14:textId="65B21E09" w:rsidR="004103F2" w:rsidRPr="004103F2" w:rsidRDefault="00F45DBA" w:rsidP="004103F2">
            <w:pPr>
              <w:rPr>
                <w:u w:val="single"/>
              </w:rPr>
            </w:pPr>
            <w:r w:rsidRPr="7E17BED1">
              <w:rPr>
                <w:u w:val="single"/>
              </w:rPr>
              <w:t>Special Care Dentistry</w:t>
            </w:r>
            <w:r w:rsidR="004103F2" w:rsidRPr="7E17BED1">
              <w:rPr>
                <w:u w:val="single"/>
              </w:rPr>
              <w:t xml:space="preserve"> </w:t>
            </w:r>
          </w:p>
          <w:p w14:paraId="77319294" w14:textId="77777777" w:rsidR="004103F2" w:rsidRDefault="004103F2" w:rsidP="004103F2"/>
          <w:p w14:paraId="43D1326C" w14:textId="235286E9" w:rsidR="004103F2" w:rsidRDefault="44D509B4" w:rsidP="004103F2">
            <w:r>
              <w:t>The post holder will gain</w:t>
            </w:r>
            <w:r w:rsidR="004103F2">
              <w:t xml:space="preserve"> experience on the </w:t>
            </w:r>
            <w:r w:rsidR="00F45DBA">
              <w:t>Special Care Dentistry</w:t>
            </w:r>
            <w:r w:rsidR="004103F2">
              <w:t xml:space="preserve"> </w:t>
            </w:r>
            <w:r w:rsidR="00F45DBA">
              <w:t>department</w:t>
            </w:r>
            <w:r w:rsidR="05933954">
              <w:t xml:space="preserve"> at BDH.</w:t>
            </w:r>
          </w:p>
          <w:p w14:paraId="51B41BE1" w14:textId="77777777" w:rsidR="00F45DBA" w:rsidRDefault="00F45DBA" w:rsidP="00F45DBA"/>
          <w:p w14:paraId="591D6DEC" w14:textId="1983006D" w:rsidR="00F45DBA" w:rsidRPr="00F45DBA" w:rsidRDefault="00F45DBA" w:rsidP="00F45DBA">
            <w:r w:rsidRPr="00F45DBA">
              <w:t>Special Care Dentistry is a branch of Dentistry, which provides oral care services (preventive and treatment) for people who are unable to accept routine dental care because of a physical, intellectual, medical, emotional, sensory, mental or social impairment, or a combination of these factors. </w:t>
            </w:r>
          </w:p>
          <w:p w14:paraId="590EEE3E" w14:textId="77777777" w:rsidR="00F45DBA" w:rsidRPr="00F45DBA" w:rsidRDefault="00F45DBA" w:rsidP="00F45DBA">
            <w:r w:rsidRPr="00F45DBA">
              <w:t> </w:t>
            </w:r>
          </w:p>
          <w:p w14:paraId="2BAE9C87" w14:textId="378985D4" w:rsidR="004103F2" w:rsidRDefault="00F45DBA" w:rsidP="004103F2">
            <w:r w:rsidRPr="00F45DBA">
              <w:t>The Special Care Dentistry department regularly carry out treatment for patients with sedation and general anaesthetic</w:t>
            </w:r>
            <w:r>
              <w:t>.</w:t>
            </w:r>
          </w:p>
          <w:p w14:paraId="451BDA8E" w14:textId="6F0E70A4" w:rsidR="004103F2" w:rsidRPr="004103F2" w:rsidRDefault="004103F2" w:rsidP="01E99E7E"/>
          <w:p w14:paraId="740A3CF6" w14:textId="6BF01809" w:rsidR="25BF381F" w:rsidRDefault="25BF381F" w:rsidP="01E99E7E">
            <w:pPr>
              <w:spacing w:after="160" w:line="257" w:lineRule="auto"/>
            </w:pPr>
            <w:r w:rsidRPr="01E99E7E">
              <w:rPr>
                <w:rFonts w:ascii="Calibri" w:eastAsia="Calibri" w:hAnsi="Calibri" w:cs="Calibri"/>
                <w:u w:val="single"/>
              </w:rPr>
              <w:t>Community Dental Service</w:t>
            </w:r>
          </w:p>
          <w:p w14:paraId="46351980" w14:textId="5BE9D595" w:rsidR="25BF381F" w:rsidRDefault="25BF381F" w:rsidP="01E99E7E">
            <w:pPr>
              <w:spacing w:after="160" w:line="257" w:lineRule="auto"/>
            </w:pPr>
            <w:r w:rsidRPr="01E99E7E">
              <w:rPr>
                <w:rFonts w:ascii="Calibri" w:eastAsia="Calibri" w:hAnsi="Calibri" w:cs="Calibri"/>
              </w:rPr>
              <w:t>This is an award winning service within the UHBW Trust.</w:t>
            </w:r>
          </w:p>
          <w:p w14:paraId="56EF6E0F" w14:textId="62B344F9" w:rsidR="25BF381F" w:rsidRDefault="25BF381F" w:rsidP="01E99E7E">
            <w:pPr>
              <w:spacing w:after="160" w:line="257" w:lineRule="auto"/>
            </w:pPr>
            <w:r w:rsidRPr="01E99E7E">
              <w:rPr>
                <w:rFonts w:ascii="Calibri" w:eastAsia="Calibri" w:hAnsi="Calibri" w:cs="Calibri"/>
              </w:rPr>
              <w:t>You will provide comprehensive dental care to children and adults with additional needs that have been referred to the service.</w:t>
            </w:r>
          </w:p>
          <w:p w14:paraId="701CB74A" w14:textId="70C6B648" w:rsidR="25BF381F" w:rsidRDefault="25BF381F" w:rsidP="01E99E7E">
            <w:pPr>
              <w:spacing w:after="160" w:line="257" w:lineRule="auto"/>
            </w:pPr>
            <w:r w:rsidRPr="01E99E7E">
              <w:rPr>
                <w:rFonts w:ascii="Calibri" w:eastAsia="Calibri" w:hAnsi="Calibri" w:cs="Calibri"/>
              </w:rPr>
              <w:t xml:space="preserve">You will also have the opportunity to do domiciliary visits, so access to a car and a full driving license is essential. </w:t>
            </w:r>
          </w:p>
          <w:p w14:paraId="0633D2D0" w14:textId="27EB5A46" w:rsidR="25BF381F" w:rsidRDefault="25BF381F" w:rsidP="01E99E7E">
            <w:pPr>
              <w:spacing w:after="160" w:line="257" w:lineRule="auto"/>
            </w:pPr>
            <w:r w:rsidRPr="01E99E7E">
              <w:rPr>
                <w:rFonts w:ascii="Calibri" w:eastAsia="Calibri" w:hAnsi="Calibri" w:cs="Calibri"/>
              </w:rPr>
              <w:t>The post holder will need to have an NHS Performer number</w:t>
            </w:r>
          </w:p>
          <w:p w14:paraId="1A443DF3" w14:textId="14602D96" w:rsidR="25BF381F" w:rsidRDefault="25BF381F" w:rsidP="01E99E7E">
            <w:pPr>
              <w:spacing w:after="160" w:line="257" w:lineRule="auto"/>
            </w:pPr>
            <w:r w:rsidRPr="01E99E7E">
              <w:rPr>
                <w:rFonts w:ascii="Calibri" w:eastAsia="Calibri" w:hAnsi="Calibri" w:cs="Calibri"/>
              </w:rPr>
              <w:t>The post holder will also attend an accredited sedation training course and be supported to gain their qualification.</w:t>
            </w:r>
          </w:p>
          <w:p w14:paraId="42171279" w14:textId="0F284526" w:rsidR="01E99E7E" w:rsidRDefault="01E99E7E"/>
          <w:p w14:paraId="76EEF076" w14:textId="77777777" w:rsidR="004103F2" w:rsidRDefault="004103F2" w:rsidP="004103F2"/>
          <w:p w14:paraId="288A5AF2" w14:textId="77AFBBD5" w:rsidR="005A2FEB" w:rsidRDefault="60D5D1AE" w:rsidP="693E6B04">
            <w:pPr>
              <w:rPr>
                <w:rFonts w:ascii="Calibri" w:eastAsia="Calibri" w:hAnsi="Calibri" w:cs="Calibri"/>
                <w:color w:val="000000" w:themeColor="text1"/>
              </w:rPr>
            </w:pPr>
            <w:r w:rsidRPr="693E6B04">
              <w:rPr>
                <w:rFonts w:ascii="Calibri" w:eastAsia="Calibri" w:hAnsi="Calibri" w:cs="Calibri"/>
                <w:b/>
                <w:bCs/>
                <w:color w:val="000000" w:themeColor="text1"/>
              </w:rPr>
              <w:t>Additional information</w:t>
            </w:r>
          </w:p>
          <w:p w14:paraId="461A78AB" w14:textId="4EAC417E" w:rsidR="005A2FEB" w:rsidRDefault="60D5D1AE" w:rsidP="693E6B04">
            <w:pPr>
              <w:pStyle w:val="ListParagraph"/>
              <w:numPr>
                <w:ilvl w:val="0"/>
                <w:numId w:val="1"/>
              </w:numPr>
              <w:rPr>
                <w:rFonts w:ascii="Calibri" w:eastAsia="Calibri" w:hAnsi="Calibri" w:cs="Calibri"/>
                <w:color w:val="000000" w:themeColor="text1"/>
              </w:rPr>
            </w:pPr>
            <w:r w:rsidRPr="693E6B04">
              <w:rPr>
                <w:rFonts w:ascii="Calibri" w:eastAsia="Calibri" w:hAnsi="Calibri" w:cs="Calibri"/>
                <w:color w:val="000000" w:themeColor="text1"/>
              </w:rPr>
              <w:t>The post holder may need to cover sessions within the Emergency dental service for adults.  Patients managed within this Unit also include those with medical complexity e.g. pre surgery cardiac and bone marrow transplant patients requiring dental screening and treatment.</w:t>
            </w:r>
          </w:p>
          <w:p w14:paraId="46F58059" w14:textId="65E2363D" w:rsidR="005A2FEB" w:rsidRDefault="60D5D1AE" w:rsidP="693E6B04">
            <w:pPr>
              <w:pStyle w:val="ListParagraph"/>
              <w:numPr>
                <w:ilvl w:val="0"/>
                <w:numId w:val="1"/>
              </w:numPr>
              <w:rPr>
                <w:rFonts w:ascii="Calibri" w:eastAsia="Calibri" w:hAnsi="Calibri" w:cs="Calibri"/>
                <w:color w:val="000000" w:themeColor="text1"/>
              </w:rPr>
            </w:pPr>
            <w:r w:rsidRPr="693E6B04">
              <w:rPr>
                <w:rFonts w:ascii="Calibri" w:eastAsia="Calibri" w:hAnsi="Calibri" w:cs="Calibri"/>
                <w:color w:val="000000" w:themeColor="text1"/>
              </w:rPr>
              <w:t>Teaching usually takes place on a Wednesday afternoon with DCTs from other specialties</w:t>
            </w:r>
          </w:p>
          <w:p w14:paraId="3F9EC686" w14:textId="160AB0DB" w:rsidR="005A2FEB" w:rsidRDefault="60D5D1AE" w:rsidP="693E6B04">
            <w:pPr>
              <w:pStyle w:val="ListParagraph"/>
              <w:numPr>
                <w:ilvl w:val="0"/>
                <w:numId w:val="1"/>
              </w:numPr>
              <w:rPr>
                <w:rFonts w:ascii="Calibri" w:eastAsia="Calibri" w:hAnsi="Calibri" w:cs="Calibri"/>
                <w:color w:val="000000" w:themeColor="text1"/>
              </w:rPr>
            </w:pPr>
            <w:r w:rsidRPr="693E6B04">
              <w:rPr>
                <w:rFonts w:ascii="Calibri" w:eastAsia="Calibri" w:hAnsi="Calibri" w:cs="Calibri"/>
                <w:color w:val="000000" w:themeColor="text1"/>
              </w:rPr>
              <w:t>Participation in clinical governance is actively supported.</w:t>
            </w:r>
          </w:p>
          <w:p w14:paraId="1A743518" w14:textId="6BA7DBA9" w:rsidR="005A2FEB" w:rsidRDefault="005A2FEB" w:rsidP="74581E53">
            <w:pPr>
              <w:pStyle w:val="ListParagraph"/>
              <w:rPr>
                <w:rFonts w:ascii="Calibri" w:eastAsia="Calibri" w:hAnsi="Calibri" w:cs="Calibri"/>
                <w:color w:val="000000" w:themeColor="text1"/>
              </w:rPr>
            </w:pPr>
          </w:p>
          <w:p w14:paraId="64636074" w14:textId="60D0F88A" w:rsidR="005A2FEB" w:rsidRDefault="005A2FEB" w:rsidP="004103F2"/>
        </w:tc>
      </w:tr>
      <w:tr w:rsidR="004103F2" w14:paraId="2613F727" w14:textId="77777777" w:rsidTr="009C2C74">
        <w:tc>
          <w:tcPr>
            <w:tcW w:w="1296" w:type="dxa"/>
          </w:tcPr>
          <w:p w14:paraId="6D3DFF1E" w14:textId="77777777" w:rsidR="004103F2" w:rsidRDefault="004103F2" w:rsidP="00B55AB6">
            <w:pPr>
              <w:pStyle w:val="ListParagraph"/>
              <w:numPr>
                <w:ilvl w:val="0"/>
                <w:numId w:val="2"/>
              </w:numPr>
              <w:jc w:val="both"/>
            </w:pPr>
          </w:p>
        </w:tc>
        <w:tc>
          <w:tcPr>
            <w:tcW w:w="3584" w:type="dxa"/>
          </w:tcPr>
          <w:p w14:paraId="7E711F53" w14:textId="0391252B" w:rsidR="004103F2" w:rsidRPr="00BC5E55" w:rsidRDefault="004103F2" w:rsidP="00B55AB6">
            <w:r w:rsidRPr="00AA2F78">
              <w:rPr>
                <w:b/>
                <w:bCs/>
                <w:sz w:val="24"/>
                <w:szCs w:val="24"/>
              </w:rPr>
              <w:t>Suitable for Temporary Registrant</w:t>
            </w:r>
            <w:r>
              <w:rPr>
                <w:b/>
                <w:bCs/>
                <w:sz w:val="24"/>
                <w:szCs w:val="24"/>
              </w:rPr>
              <w:t>?</w:t>
            </w:r>
          </w:p>
        </w:tc>
        <w:tc>
          <w:tcPr>
            <w:tcW w:w="6178" w:type="dxa"/>
          </w:tcPr>
          <w:p w14:paraId="0D8C0626" w14:textId="77777777" w:rsidR="004103F2" w:rsidRPr="00BC5E55" w:rsidRDefault="004103F2" w:rsidP="00B55AB6">
            <w:pPr>
              <w:rPr>
                <w:b/>
                <w:bCs/>
              </w:rPr>
            </w:pPr>
            <w:r w:rsidRPr="00BC5E55">
              <w:rPr>
                <w:b/>
                <w:bCs/>
              </w:rPr>
              <w:t xml:space="preserve">                      </w:t>
            </w:r>
          </w:p>
          <w:p w14:paraId="7B7AFA12" w14:textId="77777777" w:rsidR="004103F2" w:rsidRPr="00BC5E55" w:rsidRDefault="004103F2" w:rsidP="00B55AB6">
            <w:pPr>
              <w:rPr>
                <w:b/>
                <w:bCs/>
              </w:rPr>
            </w:pPr>
          </w:p>
          <w:p w14:paraId="37D86D11" w14:textId="7D5A5952" w:rsidR="004103F2" w:rsidRPr="00F71E04" w:rsidRDefault="004103F2" w:rsidP="00B55AB6">
            <w:pPr>
              <w:jc w:val="center"/>
              <w:rPr>
                <w:b/>
                <w:bCs/>
              </w:rPr>
            </w:pPr>
            <w:r w:rsidRPr="00F71E04">
              <w:rPr>
                <w:b/>
                <w:bCs/>
              </w:rPr>
              <w:t>N</w:t>
            </w:r>
            <w:r>
              <w:rPr>
                <w:b/>
                <w:bCs/>
              </w:rPr>
              <w:t>O</w:t>
            </w:r>
          </w:p>
          <w:p w14:paraId="54CBB60D" w14:textId="4131C5B3" w:rsidR="004103F2" w:rsidRPr="00BC5E55" w:rsidRDefault="004103F2" w:rsidP="00BC5E55">
            <w:pPr>
              <w:rPr>
                <w:b/>
                <w:bCs/>
              </w:rPr>
            </w:pPr>
          </w:p>
        </w:tc>
      </w:tr>
      <w:tr w:rsidR="004103F2" w14:paraId="4886640B" w14:textId="77777777" w:rsidTr="009C2C74">
        <w:tc>
          <w:tcPr>
            <w:tcW w:w="1296" w:type="dxa"/>
          </w:tcPr>
          <w:p w14:paraId="4759B55C" w14:textId="17DF4A80" w:rsidR="004103F2" w:rsidRDefault="004103F2" w:rsidP="00B55AB6">
            <w:pPr>
              <w:pStyle w:val="ListParagraph"/>
              <w:numPr>
                <w:ilvl w:val="0"/>
                <w:numId w:val="2"/>
              </w:numPr>
              <w:jc w:val="both"/>
            </w:pPr>
          </w:p>
        </w:tc>
        <w:tc>
          <w:tcPr>
            <w:tcW w:w="3584" w:type="dxa"/>
          </w:tcPr>
          <w:p w14:paraId="761F492F" w14:textId="77777777" w:rsidR="004103F2" w:rsidRPr="00AA2F78" w:rsidRDefault="004103F2" w:rsidP="00B55AB6">
            <w:pPr>
              <w:rPr>
                <w:b/>
                <w:bCs/>
                <w:sz w:val="24"/>
                <w:szCs w:val="24"/>
              </w:rPr>
            </w:pPr>
            <w:r w:rsidRPr="00AA2F78">
              <w:rPr>
                <w:b/>
                <w:bCs/>
                <w:sz w:val="24"/>
                <w:szCs w:val="24"/>
              </w:rPr>
              <w:t>Primary Care element</w:t>
            </w:r>
          </w:p>
          <w:p w14:paraId="370CC145" w14:textId="2D71F8C5" w:rsidR="004103F2" w:rsidRPr="00AA2F78" w:rsidRDefault="004103F2"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4103F2" w:rsidRPr="00AA2F78" w:rsidRDefault="004103F2" w:rsidP="00B55AB6">
            <w:pPr>
              <w:rPr>
                <w:b/>
                <w:bCs/>
                <w:sz w:val="24"/>
                <w:szCs w:val="24"/>
              </w:rPr>
            </w:pPr>
          </w:p>
        </w:tc>
        <w:tc>
          <w:tcPr>
            <w:tcW w:w="6178" w:type="dxa"/>
          </w:tcPr>
          <w:p w14:paraId="6F5A3AD9" w14:textId="77777777" w:rsidR="004103F2" w:rsidRDefault="004103F2" w:rsidP="00B55AB6">
            <w:r>
              <w:t xml:space="preserve">                      </w:t>
            </w:r>
          </w:p>
          <w:p w14:paraId="7960B252" w14:textId="77777777" w:rsidR="004103F2" w:rsidRDefault="004103F2" w:rsidP="00B55AB6"/>
          <w:p w14:paraId="0DA5FC76" w14:textId="00F9DCBA" w:rsidR="004103F2" w:rsidRDefault="3543B521" w:rsidP="00BC5E55">
            <w:pPr>
              <w:jc w:val="center"/>
              <w:rPr>
                <w:b/>
                <w:bCs/>
              </w:rPr>
            </w:pPr>
            <w:r w:rsidRPr="01E99E7E">
              <w:rPr>
                <w:b/>
                <w:bCs/>
              </w:rPr>
              <w:t>YES for CDS</w:t>
            </w:r>
          </w:p>
          <w:p w14:paraId="3311AF7F" w14:textId="5E6F744C" w:rsidR="004103F2" w:rsidRDefault="004103F2" w:rsidP="00B55AB6"/>
        </w:tc>
      </w:tr>
      <w:tr w:rsidR="00B55AB6" w14:paraId="216C4369" w14:textId="77777777" w:rsidTr="009C2C74">
        <w:tc>
          <w:tcPr>
            <w:tcW w:w="1296" w:type="dxa"/>
          </w:tcPr>
          <w:p w14:paraId="66B8C9B8" w14:textId="6C39D4E8" w:rsidR="00B55AB6" w:rsidRDefault="00B55AB6" w:rsidP="00B55AB6">
            <w:pPr>
              <w:pStyle w:val="ListParagraph"/>
              <w:numPr>
                <w:ilvl w:val="0"/>
                <w:numId w:val="2"/>
              </w:numPr>
              <w:jc w:val="both"/>
            </w:pPr>
          </w:p>
        </w:tc>
        <w:tc>
          <w:tcPr>
            <w:tcW w:w="3584"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178" w:type="dxa"/>
          </w:tcPr>
          <w:p w14:paraId="26A2CC14" w14:textId="32340A09" w:rsidR="004103F2" w:rsidRDefault="004103F2" w:rsidP="004103F2">
            <w:r>
              <w:t xml:space="preserve"> </w:t>
            </w:r>
            <w:r w:rsidR="00F45DBA">
              <w:t>Special Care Den</w:t>
            </w:r>
            <w:r w:rsidR="65C43AF4">
              <w:t>ti</w:t>
            </w:r>
            <w:r w:rsidR="00F45DBA">
              <w:t>stry</w:t>
            </w:r>
            <w:r>
              <w:t xml:space="preserve">: Normal working hours Monday – Friday 0900-1700. There is no on call commitment for this post. </w:t>
            </w:r>
          </w:p>
          <w:p w14:paraId="16F12601" w14:textId="6E8C9E81" w:rsidR="004103F2" w:rsidRDefault="004103F2" w:rsidP="004103F2"/>
          <w:p w14:paraId="04E006A9" w14:textId="73FE184E" w:rsidR="00B55AB6" w:rsidRDefault="7331F37A" w:rsidP="004103F2">
            <w:r>
              <w:t>Community dental service</w:t>
            </w:r>
            <w:r w:rsidR="004103F2">
              <w:t xml:space="preserve">: </w:t>
            </w:r>
            <w:r w:rsidR="04143AA8">
              <w:t xml:space="preserve"> Normal working hours 0900-1700. No on-call commitment</w:t>
            </w:r>
          </w:p>
        </w:tc>
      </w:tr>
      <w:tr w:rsidR="00B55AB6" w14:paraId="6C346757" w14:textId="77777777" w:rsidTr="009C2C74">
        <w:tc>
          <w:tcPr>
            <w:tcW w:w="1296" w:type="dxa"/>
          </w:tcPr>
          <w:p w14:paraId="5162C798" w14:textId="01A9C245" w:rsidR="00B55AB6" w:rsidRDefault="00B55AB6" w:rsidP="00B55AB6">
            <w:pPr>
              <w:pStyle w:val="ListParagraph"/>
              <w:numPr>
                <w:ilvl w:val="0"/>
                <w:numId w:val="2"/>
              </w:numPr>
              <w:jc w:val="both"/>
            </w:pPr>
          </w:p>
        </w:tc>
        <w:tc>
          <w:tcPr>
            <w:tcW w:w="3584"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178" w:type="dxa"/>
          </w:tcPr>
          <w:p w14:paraId="7CD23267" w14:textId="2A76E6A4" w:rsidR="004103F2" w:rsidRDefault="004103F2" w:rsidP="004103F2">
            <w:r>
              <w:t xml:space="preserve">DCTs are encouraged to attend the regional study days </w:t>
            </w:r>
          </w:p>
          <w:p w14:paraId="0E3A434C" w14:textId="26E48DEF" w:rsidR="00B55AB6" w:rsidRDefault="004103F2" w:rsidP="004103F2">
            <w:r>
              <w:t>Regular local study days at BDH are also arranged</w:t>
            </w:r>
          </w:p>
        </w:tc>
      </w:tr>
      <w:tr w:rsidR="00B55AB6" w14:paraId="18A15174" w14:textId="77777777" w:rsidTr="009C2C74">
        <w:trPr>
          <w:trHeight w:val="461"/>
        </w:trPr>
        <w:tc>
          <w:tcPr>
            <w:tcW w:w="1296" w:type="dxa"/>
            <w:shd w:val="clear" w:color="auto" w:fill="00B0F0"/>
          </w:tcPr>
          <w:p w14:paraId="316D5F4E" w14:textId="143AF506" w:rsidR="00B55AB6" w:rsidRDefault="00B55AB6" w:rsidP="00B55AB6">
            <w:pPr>
              <w:pStyle w:val="ListParagraph"/>
              <w:jc w:val="both"/>
            </w:pPr>
          </w:p>
        </w:tc>
        <w:tc>
          <w:tcPr>
            <w:tcW w:w="3584"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178"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009C2C74">
        <w:tc>
          <w:tcPr>
            <w:tcW w:w="1296" w:type="dxa"/>
          </w:tcPr>
          <w:p w14:paraId="7FBE81CA" w14:textId="3CD62D4F" w:rsidR="00B55AB6" w:rsidRDefault="00B55AB6" w:rsidP="00B55AB6">
            <w:pPr>
              <w:pStyle w:val="ListParagraph"/>
              <w:numPr>
                <w:ilvl w:val="0"/>
                <w:numId w:val="2"/>
              </w:numPr>
              <w:jc w:val="both"/>
            </w:pPr>
          </w:p>
        </w:tc>
        <w:tc>
          <w:tcPr>
            <w:tcW w:w="3584" w:type="dxa"/>
          </w:tcPr>
          <w:p w14:paraId="4A861A7E" w14:textId="0497323B" w:rsidR="00B55AB6" w:rsidRPr="00AA2F78" w:rsidRDefault="00B55AB6" w:rsidP="00B55AB6">
            <w:pPr>
              <w:rPr>
                <w:b/>
                <w:bCs/>
                <w:sz w:val="24"/>
                <w:szCs w:val="24"/>
              </w:rPr>
            </w:pPr>
            <w:r w:rsidRPr="00AA2F78">
              <w:rPr>
                <w:b/>
                <w:bCs/>
                <w:sz w:val="24"/>
                <w:szCs w:val="24"/>
              </w:rPr>
              <w:t>Employer</w:t>
            </w:r>
          </w:p>
        </w:tc>
        <w:tc>
          <w:tcPr>
            <w:tcW w:w="6178" w:type="dxa"/>
          </w:tcPr>
          <w:p w14:paraId="0DAB5087" w14:textId="00DC5532" w:rsidR="00B55AB6" w:rsidRDefault="004103F2" w:rsidP="00B55AB6">
            <w:r w:rsidRPr="004103F2">
              <w:t>UHBW</w:t>
            </w:r>
          </w:p>
          <w:p w14:paraId="15B33436" w14:textId="77777777" w:rsidR="00B55AB6" w:rsidRDefault="00B55AB6" w:rsidP="00B55AB6"/>
        </w:tc>
      </w:tr>
      <w:tr w:rsidR="00B55AB6" w14:paraId="4A997B1E" w14:textId="77777777" w:rsidTr="009C2C74">
        <w:tc>
          <w:tcPr>
            <w:tcW w:w="1296" w:type="dxa"/>
          </w:tcPr>
          <w:p w14:paraId="2987AC86" w14:textId="7F9510A7" w:rsidR="00B55AB6" w:rsidRDefault="00B55AB6" w:rsidP="00B55AB6">
            <w:pPr>
              <w:pStyle w:val="ListParagraph"/>
              <w:numPr>
                <w:ilvl w:val="0"/>
                <w:numId w:val="2"/>
              </w:numPr>
              <w:jc w:val="both"/>
            </w:pPr>
          </w:p>
        </w:tc>
        <w:tc>
          <w:tcPr>
            <w:tcW w:w="3584"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178" w:type="dxa"/>
          </w:tcPr>
          <w:p w14:paraId="0E8D11CF" w14:textId="77777777" w:rsidR="00B55AB6" w:rsidRDefault="004103F2" w:rsidP="004103F2">
            <w:r w:rsidRPr="004103F2">
              <w:t>HR Queries: Christina Kirchantzoglou</w:t>
            </w:r>
          </w:p>
          <w:p w14:paraId="653348E6" w14:textId="5832BB89" w:rsidR="004103F2" w:rsidRDefault="004103F2" w:rsidP="004103F2">
            <w:hyperlink r:id="rId12" w:history="1">
              <w:r w:rsidRPr="00337859">
                <w:rPr>
                  <w:rStyle w:val="Hyperlink"/>
                </w:rPr>
                <w:t>christina.kirchantzoglou@uhbw.nhs.uk</w:t>
              </w:r>
            </w:hyperlink>
          </w:p>
          <w:p w14:paraId="0BBD1ED7" w14:textId="77777777" w:rsidR="00FB6DDB" w:rsidRDefault="004103F2" w:rsidP="004103F2">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3"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C145605" w14:textId="3EEC7588" w:rsidR="00FB6DDB" w:rsidRDefault="00FB6DDB" w:rsidP="004103F2">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T</w:t>
            </w:r>
            <w:r w:rsidR="004103F2" w:rsidRPr="00FB6DDB">
              <w:rPr>
                <w:rStyle w:val="normaltextrun"/>
                <w:rFonts w:cstheme="minorHAnsi"/>
                <w:color w:val="000000"/>
                <w:shd w:val="clear" w:color="auto" w:fill="FFFFFF"/>
              </w:rPr>
              <w:t>anu Bhat</w:t>
            </w:r>
            <w:r w:rsidR="004103F2">
              <w:rPr>
                <w:rStyle w:val="normaltextrun"/>
                <w:rFonts w:ascii="Arial" w:hAnsi="Arial" w:cs="Arial"/>
                <w:color w:val="000000"/>
                <w:shd w:val="clear" w:color="auto" w:fill="FFFFFF"/>
              </w:rPr>
              <w:t xml:space="preserve"> </w:t>
            </w:r>
            <w:hyperlink r:id="rId14" w:history="1">
              <w:r w:rsidRPr="00337859">
                <w:rPr>
                  <w:rStyle w:val="Hyperlink"/>
                  <w:rFonts w:ascii="Arial" w:hAnsi="Arial" w:cs="Arial"/>
                  <w:shd w:val="clear" w:color="auto" w:fill="FFFFFF"/>
                </w:rPr>
                <w:t>tanu.bhat@uhbw.nhs.uk</w:t>
              </w:r>
            </w:hyperlink>
          </w:p>
          <w:p w14:paraId="7060BF58" w14:textId="3334EDC3" w:rsidR="004103F2" w:rsidRDefault="004103F2" w:rsidP="004103F2">
            <w:r>
              <w:rPr>
                <w:rStyle w:val="eop"/>
                <w:rFonts w:ascii="Arial" w:hAnsi="Arial" w:cs="Arial"/>
                <w:color w:val="000000"/>
                <w:shd w:val="clear" w:color="auto" w:fill="FFFFFF"/>
              </w:rPr>
              <w:t> </w:t>
            </w:r>
          </w:p>
        </w:tc>
      </w:tr>
      <w:tr w:rsidR="00B55AB6" w14:paraId="245C7C52" w14:textId="77777777" w:rsidTr="009C2C74">
        <w:tc>
          <w:tcPr>
            <w:tcW w:w="1296" w:type="dxa"/>
          </w:tcPr>
          <w:p w14:paraId="7D151A51" w14:textId="14ACD886" w:rsidR="00B55AB6" w:rsidRDefault="00B55AB6" w:rsidP="00B55AB6">
            <w:pPr>
              <w:pStyle w:val="ListParagraph"/>
              <w:numPr>
                <w:ilvl w:val="0"/>
                <w:numId w:val="2"/>
              </w:numPr>
              <w:jc w:val="both"/>
            </w:pPr>
          </w:p>
        </w:tc>
        <w:tc>
          <w:tcPr>
            <w:tcW w:w="3584"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178" w:type="dxa"/>
          </w:tcPr>
          <w:p w14:paraId="504CFCC2" w14:textId="7076E776" w:rsidR="00B55AB6" w:rsidRDefault="00FB6DDB" w:rsidP="00FB6DDB">
            <w:hyperlink r:id="rId15" w:history="1">
              <w:r w:rsidRPr="00337859">
                <w:rPr>
                  <w:rStyle w:val="Hyperlink"/>
                </w:rPr>
                <w:t>https://www.uhbristol.nhs.uk/patients-and-visitors/your-hospitals/university-of-bristol-dental-hospital/</w:t>
              </w:r>
            </w:hyperlink>
          </w:p>
          <w:p w14:paraId="1C9A9F04" w14:textId="77777777" w:rsidR="00FB6DDB" w:rsidRDefault="00FB6DDB" w:rsidP="00FB6DDB"/>
          <w:p w14:paraId="7666BC82" w14:textId="245E3DA3" w:rsidR="00FB6DDB" w:rsidRDefault="00FB6DDB" w:rsidP="00FB6DDB">
            <w:pPr>
              <w:rPr>
                <w:rFonts w:ascii="Segoe UI" w:hAnsi="Segoe UI" w:cs="Segoe UI"/>
                <w:color w:val="000000"/>
                <w:sz w:val="18"/>
                <w:szCs w:val="18"/>
                <w:shd w:val="clear" w:color="auto" w:fill="FFFFFF"/>
              </w:rPr>
            </w:pPr>
            <w:hyperlink r:id="rId16"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2E89C567" w:rsidR="00FB6DDB" w:rsidRDefault="00FB6DDB" w:rsidP="00FB6DDB"/>
        </w:tc>
      </w:tr>
    </w:tbl>
    <w:p w14:paraId="739459F0" w14:textId="04A25C2F" w:rsidR="009A14E0" w:rsidRDefault="009A14E0" w:rsidP="005B752F"/>
    <w:sectPr w:rsidR="009A14E0" w:rsidSect="00BC31A6">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0E54" w14:textId="77777777" w:rsidR="008416AD" w:rsidRDefault="008416AD" w:rsidP="005B752F">
      <w:pPr>
        <w:spacing w:after="0" w:line="240" w:lineRule="auto"/>
      </w:pPr>
      <w:r>
        <w:separator/>
      </w:r>
    </w:p>
  </w:endnote>
  <w:endnote w:type="continuationSeparator" w:id="0">
    <w:p w14:paraId="6F69E584" w14:textId="77777777" w:rsidR="008416AD" w:rsidRDefault="008416AD"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45D5B2" w14:paraId="66F7F3F9" w14:textId="77777777" w:rsidTr="1645D5B2">
      <w:trPr>
        <w:trHeight w:val="300"/>
      </w:trPr>
      <w:tc>
        <w:tcPr>
          <w:tcW w:w="3005" w:type="dxa"/>
        </w:tcPr>
        <w:p w14:paraId="526B6328" w14:textId="28620E3A" w:rsidR="1645D5B2" w:rsidRDefault="1645D5B2" w:rsidP="1645D5B2">
          <w:pPr>
            <w:pStyle w:val="Header"/>
            <w:ind w:left="-115"/>
          </w:pPr>
        </w:p>
      </w:tc>
      <w:tc>
        <w:tcPr>
          <w:tcW w:w="3005" w:type="dxa"/>
        </w:tcPr>
        <w:p w14:paraId="63ADD8D9" w14:textId="0C4D0492" w:rsidR="1645D5B2" w:rsidRDefault="1645D5B2" w:rsidP="1645D5B2">
          <w:pPr>
            <w:pStyle w:val="Header"/>
            <w:jc w:val="center"/>
          </w:pPr>
        </w:p>
      </w:tc>
      <w:tc>
        <w:tcPr>
          <w:tcW w:w="3005" w:type="dxa"/>
        </w:tcPr>
        <w:p w14:paraId="7B7C7188" w14:textId="4E5C770C" w:rsidR="1645D5B2" w:rsidRDefault="1645D5B2" w:rsidP="1645D5B2">
          <w:pPr>
            <w:pStyle w:val="Header"/>
            <w:ind w:right="-115"/>
            <w:jc w:val="right"/>
          </w:pPr>
        </w:p>
      </w:tc>
    </w:tr>
  </w:tbl>
  <w:p w14:paraId="3FF50997" w14:textId="42560D8F" w:rsidR="1645D5B2" w:rsidRDefault="1645D5B2" w:rsidP="1645D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1380" w14:textId="77777777" w:rsidR="008416AD" w:rsidRDefault="008416AD" w:rsidP="005B752F">
      <w:pPr>
        <w:spacing w:after="0" w:line="240" w:lineRule="auto"/>
      </w:pPr>
      <w:r>
        <w:separator/>
      </w:r>
    </w:p>
  </w:footnote>
  <w:footnote w:type="continuationSeparator" w:id="0">
    <w:p w14:paraId="7590212C" w14:textId="77777777" w:rsidR="008416AD" w:rsidRDefault="008416AD"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2637" w14:textId="10D746BA" w:rsidR="1645D5B2" w:rsidRDefault="1645D5B2" w:rsidP="1645D5B2">
    <w:pPr>
      <w:spacing w:after="60" w:line="240" w:lineRule="auto"/>
      <w:jc w:val="center"/>
      <w:rPr>
        <w:rFonts w:ascii="Calibri" w:eastAsia="Calibri" w:hAnsi="Calibri" w:cs="Calibri"/>
        <w:color w:val="000000" w:themeColor="text1"/>
        <w:sz w:val="32"/>
        <w:szCs w:val="32"/>
        <w:lang w:val="en-US"/>
      </w:rPr>
    </w:pPr>
    <w:r>
      <w:rPr>
        <w:noProof/>
      </w:rPr>
      <w:drawing>
        <wp:inline distT="0" distB="0" distL="0" distR="0" wp14:anchorId="1A5C2E86" wp14:editId="075DFB3A">
          <wp:extent cx="5724525" cy="638175"/>
          <wp:effectExtent l="0" t="0" r="0" b="0"/>
          <wp:docPr id="20119853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85315"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3084BDED" w14:textId="5A9AA44C" w:rsidR="1645D5B2" w:rsidRDefault="1645D5B2" w:rsidP="1645D5B2">
    <w:pPr>
      <w:spacing w:after="60" w:line="240" w:lineRule="auto"/>
      <w:rPr>
        <w:rFonts w:ascii="Calibri" w:eastAsia="Calibri" w:hAnsi="Calibri" w:cs="Calibri"/>
        <w:color w:val="000000" w:themeColor="text1"/>
        <w:sz w:val="32"/>
        <w:szCs w:val="32"/>
        <w:lang w:val="en-US"/>
      </w:rPr>
    </w:pPr>
  </w:p>
  <w:p w14:paraId="64EFC12C" w14:textId="509A039D" w:rsidR="1645D5B2" w:rsidRDefault="1645D5B2" w:rsidP="1645D5B2">
    <w:pPr>
      <w:spacing w:after="60" w:line="240" w:lineRule="auto"/>
      <w:jc w:val="center"/>
      <w:rPr>
        <w:rFonts w:ascii="Calibri" w:eastAsia="Calibri" w:hAnsi="Calibri" w:cs="Calibri"/>
        <w:color w:val="000000" w:themeColor="text1"/>
        <w:sz w:val="32"/>
        <w:szCs w:val="32"/>
        <w:lang w:val="en-US"/>
      </w:rPr>
    </w:pPr>
    <w:r w:rsidRPr="1645D5B2">
      <w:rPr>
        <w:rFonts w:ascii="Calibri" w:eastAsia="Calibri" w:hAnsi="Calibri" w:cs="Calibri"/>
        <w:b/>
        <w:bCs/>
        <w:color w:val="000000" w:themeColor="text1"/>
        <w:sz w:val="32"/>
        <w:szCs w:val="32"/>
      </w:rPr>
      <w:t>DENTAL CORE TRAINING 2026/27</w:t>
    </w:r>
  </w:p>
  <w:p w14:paraId="61F1D358" w14:textId="020584E6" w:rsidR="1645D5B2" w:rsidRDefault="1645D5B2" w:rsidP="1645D5B2">
    <w:pPr>
      <w:pStyle w:val="Header"/>
      <w:spacing w:after="60"/>
      <w:jc w:val="center"/>
      <w:rPr>
        <w:rFonts w:ascii="Calibri" w:eastAsia="Calibri" w:hAnsi="Calibri" w:cs="Calibri"/>
        <w:color w:val="000000" w:themeColor="text1"/>
        <w:sz w:val="32"/>
        <w:szCs w:val="32"/>
        <w:lang w:val="en-US"/>
      </w:rPr>
    </w:pPr>
    <w:r w:rsidRPr="1645D5B2">
      <w:rPr>
        <w:rFonts w:ascii="Calibri" w:eastAsia="Calibri" w:hAnsi="Calibri" w:cs="Calibri"/>
        <w:b/>
        <w:bCs/>
        <w:color w:val="000000" w:themeColor="text1"/>
        <w:sz w:val="32"/>
        <w:szCs w:val="32"/>
      </w:rPr>
      <w:t>NHS ENGLAND WT &amp; E – South West</w:t>
    </w:r>
  </w:p>
  <w:p w14:paraId="603B4DD2" w14:textId="4A9C3EB6" w:rsidR="1645D5B2" w:rsidRDefault="1645D5B2" w:rsidP="1645D5B2">
    <w:pPr>
      <w:pStyle w:val="Header"/>
      <w:spacing w:after="60"/>
      <w:jc w:val="center"/>
      <w:rPr>
        <w:rFonts w:ascii="Calibri" w:eastAsia="Calibri" w:hAnsi="Calibri" w:cs="Calibri"/>
        <w:color w:val="FF0000"/>
        <w:sz w:val="32"/>
        <w:szCs w:val="32"/>
        <w:lang w:val="en-US"/>
      </w:rPr>
    </w:pPr>
    <w:r w:rsidRPr="1645D5B2">
      <w:rPr>
        <w:rFonts w:ascii="Calibri" w:eastAsia="Calibri" w:hAnsi="Calibri" w:cs="Calibri"/>
        <w:b/>
        <w:bCs/>
        <w:color w:val="FF0000"/>
        <w:sz w:val="32"/>
        <w:szCs w:val="32"/>
      </w:rPr>
      <w:t>University Hospitals Bristol and Weston</w:t>
    </w:r>
  </w:p>
  <w:p w14:paraId="575C00F1" w14:textId="5E7D7DF8" w:rsidR="1645D5B2" w:rsidRDefault="1645D5B2" w:rsidP="1645D5B2">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C1780A"/>
    <w:multiLevelType w:val="hybridMultilevel"/>
    <w:tmpl w:val="CEFC522C"/>
    <w:lvl w:ilvl="0" w:tplc="C114947C">
      <w:start w:val="1"/>
      <w:numFmt w:val="bullet"/>
      <w:lvlText w:val=""/>
      <w:lvlJc w:val="left"/>
      <w:pPr>
        <w:ind w:left="720" w:hanging="360"/>
      </w:pPr>
      <w:rPr>
        <w:rFonts w:ascii="Symbol" w:hAnsi="Symbol" w:hint="default"/>
      </w:rPr>
    </w:lvl>
    <w:lvl w:ilvl="1" w:tplc="F50684AC">
      <w:start w:val="1"/>
      <w:numFmt w:val="bullet"/>
      <w:lvlText w:val="o"/>
      <w:lvlJc w:val="left"/>
      <w:pPr>
        <w:ind w:left="1440" w:hanging="360"/>
      </w:pPr>
      <w:rPr>
        <w:rFonts w:ascii="Courier New" w:hAnsi="Courier New" w:hint="default"/>
      </w:rPr>
    </w:lvl>
    <w:lvl w:ilvl="2" w:tplc="1B668410">
      <w:start w:val="1"/>
      <w:numFmt w:val="bullet"/>
      <w:lvlText w:val=""/>
      <w:lvlJc w:val="left"/>
      <w:pPr>
        <w:ind w:left="2160" w:hanging="360"/>
      </w:pPr>
      <w:rPr>
        <w:rFonts w:ascii="Wingdings" w:hAnsi="Wingdings" w:hint="default"/>
      </w:rPr>
    </w:lvl>
    <w:lvl w:ilvl="3" w:tplc="D87808AA">
      <w:start w:val="1"/>
      <w:numFmt w:val="bullet"/>
      <w:lvlText w:val=""/>
      <w:lvlJc w:val="left"/>
      <w:pPr>
        <w:ind w:left="2880" w:hanging="360"/>
      </w:pPr>
      <w:rPr>
        <w:rFonts w:ascii="Symbol" w:hAnsi="Symbol" w:hint="default"/>
      </w:rPr>
    </w:lvl>
    <w:lvl w:ilvl="4" w:tplc="DD825812">
      <w:start w:val="1"/>
      <w:numFmt w:val="bullet"/>
      <w:lvlText w:val="o"/>
      <w:lvlJc w:val="left"/>
      <w:pPr>
        <w:ind w:left="3600" w:hanging="360"/>
      </w:pPr>
      <w:rPr>
        <w:rFonts w:ascii="Courier New" w:hAnsi="Courier New" w:hint="default"/>
      </w:rPr>
    </w:lvl>
    <w:lvl w:ilvl="5" w:tplc="1AA0B2D0">
      <w:start w:val="1"/>
      <w:numFmt w:val="bullet"/>
      <w:lvlText w:val=""/>
      <w:lvlJc w:val="left"/>
      <w:pPr>
        <w:ind w:left="4320" w:hanging="360"/>
      </w:pPr>
      <w:rPr>
        <w:rFonts w:ascii="Wingdings" w:hAnsi="Wingdings" w:hint="default"/>
      </w:rPr>
    </w:lvl>
    <w:lvl w:ilvl="6" w:tplc="50E6DBC0">
      <w:start w:val="1"/>
      <w:numFmt w:val="bullet"/>
      <w:lvlText w:val=""/>
      <w:lvlJc w:val="left"/>
      <w:pPr>
        <w:ind w:left="5040" w:hanging="360"/>
      </w:pPr>
      <w:rPr>
        <w:rFonts w:ascii="Symbol" w:hAnsi="Symbol" w:hint="default"/>
      </w:rPr>
    </w:lvl>
    <w:lvl w:ilvl="7" w:tplc="D11218B6">
      <w:start w:val="1"/>
      <w:numFmt w:val="bullet"/>
      <w:lvlText w:val="o"/>
      <w:lvlJc w:val="left"/>
      <w:pPr>
        <w:ind w:left="5760" w:hanging="360"/>
      </w:pPr>
      <w:rPr>
        <w:rFonts w:ascii="Courier New" w:hAnsi="Courier New" w:hint="default"/>
      </w:rPr>
    </w:lvl>
    <w:lvl w:ilvl="8" w:tplc="4FB894D4">
      <w:start w:val="1"/>
      <w:numFmt w:val="bullet"/>
      <w:lvlText w:val=""/>
      <w:lvlJc w:val="left"/>
      <w:pPr>
        <w:ind w:left="6480" w:hanging="360"/>
      </w:pPr>
      <w:rPr>
        <w:rFonts w:ascii="Wingdings" w:hAnsi="Wingdings" w:hint="default"/>
      </w:rPr>
    </w:lvl>
  </w:abstractNum>
  <w:num w:numId="1" w16cid:durableId="965282685">
    <w:abstractNumId w:val="6"/>
  </w:num>
  <w:num w:numId="2" w16cid:durableId="1272202186">
    <w:abstractNumId w:val="5"/>
  </w:num>
  <w:num w:numId="3" w16cid:durableId="845628701">
    <w:abstractNumId w:val="2"/>
  </w:num>
  <w:num w:numId="4" w16cid:durableId="160975718">
    <w:abstractNumId w:val="4"/>
  </w:num>
  <w:num w:numId="5" w16cid:durableId="265426015">
    <w:abstractNumId w:val="3"/>
  </w:num>
  <w:num w:numId="6" w16cid:durableId="483661210">
    <w:abstractNumId w:val="0"/>
  </w:num>
  <w:num w:numId="7" w16cid:durableId="25089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32851"/>
    <w:rsid w:val="00086766"/>
    <w:rsid w:val="000877C7"/>
    <w:rsid w:val="00091CED"/>
    <w:rsid w:val="00096133"/>
    <w:rsid w:val="000E07AC"/>
    <w:rsid w:val="000F31E9"/>
    <w:rsid w:val="00123F94"/>
    <w:rsid w:val="00124D99"/>
    <w:rsid w:val="00154872"/>
    <w:rsid w:val="0016006A"/>
    <w:rsid w:val="00184839"/>
    <w:rsid w:val="00197FCD"/>
    <w:rsid w:val="001E0DEC"/>
    <w:rsid w:val="00231BF0"/>
    <w:rsid w:val="00242600"/>
    <w:rsid w:val="0024489F"/>
    <w:rsid w:val="00255CE6"/>
    <w:rsid w:val="00280052"/>
    <w:rsid w:val="002B3EDC"/>
    <w:rsid w:val="002B4FE4"/>
    <w:rsid w:val="002D4A0B"/>
    <w:rsid w:val="002F12EE"/>
    <w:rsid w:val="00307A1E"/>
    <w:rsid w:val="003330D9"/>
    <w:rsid w:val="004103F2"/>
    <w:rsid w:val="004158C6"/>
    <w:rsid w:val="0045655D"/>
    <w:rsid w:val="004D1509"/>
    <w:rsid w:val="004E1773"/>
    <w:rsid w:val="004F25BA"/>
    <w:rsid w:val="004F7933"/>
    <w:rsid w:val="00542CEF"/>
    <w:rsid w:val="00564A06"/>
    <w:rsid w:val="0057111A"/>
    <w:rsid w:val="005A2FEB"/>
    <w:rsid w:val="005B08AF"/>
    <w:rsid w:val="005B6701"/>
    <w:rsid w:val="005B752F"/>
    <w:rsid w:val="005E785A"/>
    <w:rsid w:val="005F0440"/>
    <w:rsid w:val="00631FE1"/>
    <w:rsid w:val="006508B8"/>
    <w:rsid w:val="00665F9F"/>
    <w:rsid w:val="006B646B"/>
    <w:rsid w:val="006D6547"/>
    <w:rsid w:val="006E7F66"/>
    <w:rsid w:val="00712042"/>
    <w:rsid w:val="007308F1"/>
    <w:rsid w:val="00782470"/>
    <w:rsid w:val="007B13B4"/>
    <w:rsid w:val="007D5676"/>
    <w:rsid w:val="007E106E"/>
    <w:rsid w:val="007F3483"/>
    <w:rsid w:val="008120A5"/>
    <w:rsid w:val="008416AD"/>
    <w:rsid w:val="00845AFE"/>
    <w:rsid w:val="0085193B"/>
    <w:rsid w:val="00852323"/>
    <w:rsid w:val="00870CBC"/>
    <w:rsid w:val="00880787"/>
    <w:rsid w:val="008873D6"/>
    <w:rsid w:val="0096005E"/>
    <w:rsid w:val="00966B40"/>
    <w:rsid w:val="009A14E0"/>
    <w:rsid w:val="009C0797"/>
    <w:rsid w:val="009C2C74"/>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B25A8"/>
    <w:rsid w:val="00CB4D06"/>
    <w:rsid w:val="00CC4AC5"/>
    <w:rsid w:val="00D252F6"/>
    <w:rsid w:val="00D27285"/>
    <w:rsid w:val="00D327D3"/>
    <w:rsid w:val="00D417DC"/>
    <w:rsid w:val="00D735AE"/>
    <w:rsid w:val="00D83EFF"/>
    <w:rsid w:val="00DB2F37"/>
    <w:rsid w:val="00DB53F7"/>
    <w:rsid w:val="00DB58EA"/>
    <w:rsid w:val="00DC13F2"/>
    <w:rsid w:val="00DE2E45"/>
    <w:rsid w:val="00E04DC2"/>
    <w:rsid w:val="00E21623"/>
    <w:rsid w:val="00E305A0"/>
    <w:rsid w:val="00E44964"/>
    <w:rsid w:val="00E91CCF"/>
    <w:rsid w:val="00EC723D"/>
    <w:rsid w:val="00EE5F44"/>
    <w:rsid w:val="00F10946"/>
    <w:rsid w:val="00F2756C"/>
    <w:rsid w:val="00F31CBA"/>
    <w:rsid w:val="00F407B1"/>
    <w:rsid w:val="00F45DBA"/>
    <w:rsid w:val="00F51D1A"/>
    <w:rsid w:val="00F57CE9"/>
    <w:rsid w:val="00F6293A"/>
    <w:rsid w:val="00F71E04"/>
    <w:rsid w:val="00FB6DDB"/>
    <w:rsid w:val="00FF0D1E"/>
    <w:rsid w:val="01E99E7E"/>
    <w:rsid w:val="03A83CC7"/>
    <w:rsid w:val="04143AA8"/>
    <w:rsid w:val="05933954"/>
    <w:rsid w:val="07775241"/>
    <w:rsid w:val="0BC0DD5C"/>
    <w:rsid w:val="0D37051D"/>
    <w:rsid w:val="0D84BB8C"/>
    <w:rsid w:val="0E8D5DCD"/>
    <w:rsid w:val="11A4344E"/>
    <w:rsid w:val="1645D5B2"/>
    <w:rsid w:val="1E732B36"/>
    <w:rsid w:val="234B4EB7"/>
    <w:rsid w:val="25BF381F"/>
    <w:rsid w:val="29490335"/>
    <w:rsid w:val="2C9FCE00"/>
    <w:rsid w:val="2D302188"/>
    <w:rsid w:val="2F447E8E"/>
    <w:rsid w:val="33D95972"/>
    <w:rsid w:val="3543B521"/>
    <w:rsid w:val="36FA1E67"/>
    <w:rsid w:val="38A9361C"/>
    <w:rsid w:val="3EA46017"/>
    <w:rsid w:val="44D509B4"/>
    <w:rsid w:val="495F818A"/>
    <w:rsid w:val="4BCB88EC"/>
    <w:rsid w:val="57A29F8F"/>
    <w:rsid w:val="58CA3191"/>
    <w:rsid w:val="59EE9476"/>
    <w:rsid w:val="5C53D783"/>
    <w:rsid w:val="60A5EFAF"/>
    <w:rsid w:val="60ABBFA5"/>
    <w:rsid w:val="60D5D1AE"/>
    <w:rsid w:val="65C43AF4"/>
    <w:rsid w:val="6892555B"/>
    <w:rsid w:val="690BB60E"/>
    <w:rsid w:val="693E6B04"/>
    <w:rsid w:val="7331F37A"/>
    <w:rsid w:val="74581E53"/>
    <w:rsid w:val="7745AD7A"/>
    <w:rsid w:val="788C1A55"/>
    <w:rsid w:val="7928F957"/>
    <w:rsid w:val="7BACE5CD"/>
    <w:rsid w:val="7E17B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docId w15:val="{C520A56B-C400-42C5-83B5-6D67C01E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BalloonText">
    <w:name w:val="Balloon Text"/>
    <w:basedOn w:val="Normal"/>
    <w:link w:val="BalloonTextChar"/>
    <w:uiPriority w:val="99"/>
    <w:semiHidden/>
    <w:unhideWhenUsed/>
    <w:rsid w:val="00410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3F2"/>
    <w:rPr>
      <w:rFonts w:ascii="Tahoma" w:hAnsi="Tahoma" w:cs="Tahoma"/>
      <w:sz w:val="16"/>
      <w:szCs w:val="16"/>
    </w:rPr>
  </w:style>
  <w:style w:type="character" w:customStyle="1" w:styleId="normaltextrun">
    <w:name w:val="normaltextrun"/>
    <w:basedOn w:val="DefaultParagraphFont"/>
    <w:rsid w:val="004103F2"/>
  </w:style>
  <w:style w:type="character" w:customStyle="1" w:styleId="eop">
    <w:name w:val="eop"/>
    <w:basedOn w:val="DefaultParagraphFont"/>
    <w:rsid w:val="004103F2"/>
  </w:style>
  <w:style w:type="character" w:styleId="Hyperlink">
    <w:name w:val="Hyperlink"/>
    <w:basedOn w:val="DefaultParagraphFont"/>
    <w:uiPriority w:val="99"/>
    <w:unhideWhenUsed/>
    <w:rsid w:val="00410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4561">
      <w:bodyDiv w:val="1"/>
      <w:marLeft w:val="0"/>
      <w:marRight w:val="0"/>
      <w:marTop w:val="0"/>
      <w:marBottom w:val="0"/>
      <w:divBdr>
        <w:top w:val="none" w:sz="0" w:space="0" w:color="auto"/>
        <w:left w:val="none" w:sz="0" w:space="0" w:color="auto"/>
        <w:bottom w:val="none" w:sz="0" w:space="0" w:color="auto"/>
        <w:right w:val="none" w:sz="0" w:space="0" w:color="auto"/>
      </w:divBdr>
    </w:div>
    <w:div w:id="871302411">
      <w:bodyDiv w:val="1"/>
      <w:marLeft w:val="0"/>
      <w:marRight w:val="0"/>
      <w:marTop w:val="0"/>
      <w:marBottom w:val="0"/>
      <w:divBdr>
        <w:top w:val="none" w:sz="0" w:space="0" w:color="auto"/>
        <w:left w:val="none" w:sz="0" w:space="0" w:color="auto"/>
        <w:bottom w:val="none" w:sz="0" w:space="0" w:color="auto"/>
        <w:right w:val="none" w:sz="0" w:space="0" w:color="auto"/>
      </w:divBdr>
      <w:divsChild>
        <w:div w:id="827592995">
          <w:marLeft w:val="0"/>
          <w:marRight w:val="0"/>
          <w:marTop w:val="0"/>
          <w:marBottom w:val="0"/>
          <w:divBdr>
            <w:top w:val="none" w:sz="0" w:space="0" w:color="auto"/>
            <w:left w:val="none" w:sz="0" w:space="0" w:color="auto"/>
            <w:bottom w:val="none" w:sz="0" w:space="0" w:color="auto"/>
            <w:right w:val="none" w:sz="0" w:space="0" w:color="auto"/>
          </w:divBdr>
        </w:div>
        <w:div w:id="2075659265">
          <w:marLeft w:val="0"/>
          <w:marRight w:val="0"/>
          <w:marTop w:val="0"/>
          <w:marBottom w:val="0"/>
          <w:divBdr>
            <w:top w:val="none" w:sz="0" w:space="0" w:color="auto"/>
            <w:left w:val="none" w:sz="0" w:space="0" w:color="auto"/>
            <w:bottom w:val="none" w:sz="0" w:space="0" w:color="auto"/>
            <w:right w:val="none" w:sz="0" w:space="0" w:color="auto"/>
          </w:divBdr>
        </w:div>
        <w:div w:id="321740765">
          <w:marLeft w:val="0"/>
          <w:marRight w:val="0"/>
          <w:marTop w:val="0"/>
          <w:marBottom w:val="0"/>
          <w:divBdr>
            <w:top w:val="none" w:sz="0" w:space="0" w:color="auto"/>
            <w:left w:val="none" w:sz="0" w:space="0" w:color="auto"/>
            <w:bottom w:val="none" w:sz="0" w:space="0" w:color="auto"/>
            <w:right w:val="none" w:sz="0" w:space="0" w:color="auto"/>
          </w:divBdr>
        </w:div>
      </w:divsChild>
    </w:div>
    <w:div w:id="1246261309">
      <w:bodyDiv w:val="1"/>
      <w:marLeft w:val="0"/>
      <w:marRight w:val="0"/>
      <w:marTop w:val="0"/>
      <w:marBottom w:val="0"/>
      <w:divBdr>
        <w:top w:val="none" w:sz="0" w:space="0" w:color="auto"/>
        <w:left w:val="none" w:sz="0" w:space="0" w:color="auto"/>
        <w:bottom w:val="none" w:sz="0" w:space="0" w:color="auto"/>
        <w:right w:val="none" w:sz="0" w:space="0" w:color="auto"/>
      </w:divBdr>
    </w:div>
    <w:div w:id="1823809169">
      <w:bodyDiv w:val="1"/>
      <w:marLeft w:val="0"/>
      <w:marRight w:val="0"/>
      <w:marTop w:val="0"/>
      <w:marBottom w:val="0"/>
      <w:divBdr>
        <w:top w:val="none" w:sz="0" w:space="0" w:color="auto"/>
        <w:left w:val="none" w:sz="0" w:space="0" w:color="auto"/>
        <w:bottom w:val="none" w:sz="0" w:space="0" w:color="auto"/>
        <w:right w:val="none" w:sz="0" w:space="0" w:color="auto"/>
      </w:divBdr>
      <w:divsChild>
        <w:div w:id="1628701536">
          <w:marLeft w:val="0"/>
          <w:marRight w:val="0"/>
          <w:marTop w:val="0"/>
          <w:marBottom w:val="0"/>
          <w:divBdr>
            <w:top w:val="none" w:sz="0" w:space="0" w:color="auto"/>
            <w:left w:val="none" w:sz="0" w:space="0" w:color="auto"/>
            <w:bottom w:val="none" w:sz="0" w:space="0" w:color="auto"/>
            <w:right w:val="none" w:sz="0" w:space="0" w:color="auto"/>
          </w:divBdr>
        </w:div>
        <w:div w:id="195470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hollis@uhbw.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kirchantzoglou@uhbw.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ntal.southwest.hee.nhs.uk/about-us/dental-core-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u.bhat@uhbw.nhs.uk" TargetMode="External"/><Relationship Id="rId5" Type="http://schemas.openxmlformats.org/officeDocument/2006/relationships/styles" Target="styles.xml"/><Relationship Id="rId15" Type="http://schemas.openxmlformats.org/officeDocument/2006/relationships/hyperlink" Target="https://www.uhbristol.nhs.uk/patients-and-visitors/your-hospitals/university-of-bristol-dental-hospital/" TargetMode="External"/><Relationship Id="rId10" Type="http://schemas.openxmlformats.org/officeDocument/2006/relationships/hyperlink" Target="mailto:amy.hollis@uhbw.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u.bhat@uhbw.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3.xml><?xml version="1.0" encoding="utf-8"?>
<ds:datastoreItem xmlns:ds="http://schemas.openxmlformats.org/officeDocument/2006/customXml" ds:itemID="{7C506CA2-5DCD-407A-971B-414519903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3456</Characters>
  <Application>Microsoft Office Word</Application>
  <DocSecurity>4</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2025-11-14T15:00:00Z</dcterms:created>
  <dcterms:modified xsi:type="dcterms:W3CDTF">2025-11-14T15:00:00Z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